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1A" w:rsidRDefault="00AB281A">
      <w:pPr>
        <w:shd w:val="clear" w:color="auto" w:fill="FFFFFF"/>
        <w:adjustRightInd/>
        <w:snapToGrid/>
        <w:spacing w:after="0"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关于开展前八批5150引进高层次人才</w:t>
      </w:r>
    </w:p>
    <w:p w:rsidR="00AB281A" w:rsidRDefault="00AB281A">
      <w:pPr>
        <w:shd w:val="clear" w:color="auto" w:fill="FFFFFF"/>
        <w:adjustRightInd/>
        <w:snapToGrid/>
        <w:spacing w:after="0"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（团队）支持资金审计调查工作的通知</w:t>
      </w:r>
    </w:p>
    <w:p w:rsidR="00AB281A" w:rsidRDefault="00AB281A">
      <w:pPr>
        <w:shd w:val="clear" w:color="auto" w:fill="FFFFFF"/>
        <w:adjustRightInd/>
        <w:snapToGrid/>
        <w:spacing w:after="0" w:line="520" w:lineRule="exact"/>
        <w:jc w:val="both"/>
        <w:rPr>
          <w:rFonts w:ascii="宋体" w:eastAsia="宋体" w:hAnsi="宋体" w:cs="宋体" w:hint="eastAsia"/>
          <w:b/>
          <w:bCs/>
          <w:sz w:val="44"/>
          <w:szCs w:val="44"/>
        </w:rPr>
      </w:pPr>
    </w:p>
    <w:p w:rsidR="00AB281A" w:rsidRDefault="00AB281A">
      <w:pPr>
        <w:shd w:val="clear" w:color="auto" w:fill="FFFFFF"/>
        <w:adjustRightInd/>
        <w:snapToGrid/>
        <w:spacing w:after="0" w:line="520" w:lineRule="exact"/>
        <w:jc w:val="both"/>
        <w:rPr>
          <w:rFonts w:ascii="仿宋_GB2312" w:eastAsia="仿宋_GB2312" w:hAnsi="Calibri" w:cs="宋体"/>
          <w:sz w:val="32"/>
          <w:szCs w:val="32"/>
        </w:rPr>
      </w:pPr>
      <w:r>
        <w:rPr>
          <w:rFonts w:ascii="仿宋_GB2312" w:eastAsia="仿宋_GB2312" w:hAnsi="Calibri" w:cs="宋体" w:hint="eastAsia"/>
          <w:sz w:val="32"/>
          <w:szCs w:val="32"/>
        </w:rPr>
        <w:t>各园区、有关单位：</w:t>
      </w:r>
    </w:p>
    <w:p w:rsidR="00AB281A" w:rsidRDefault="00AB281A">
      <w:pPr>
        <w:shd w:val="clear" w:color="auto" w:fill="FFFFFF"/>
        <w:adjustRightInd/>
        <w:snapToGrid/>
        <w:spacing w:after="0" w:line="520" w:lineRule="exact"/>
        <w:jc w:val="both"/>
        <w:rPr>
          <w:rFonts w:ascii="仿宋_GB2312" w:eastAsia="仿宋_GB2312" w:hAnsi="Calibri" w:cs="宋体"/>
          <w:sz w:val="32"/>
          <w:szCs w:val="32"/>
        </w:rPr>
      </w:pPr>
      <w:r>
        <w:rPr>
          <w:rFonts w:ascii="仿宋_GB2312" w:eastAsia="仿宋_GB2312" w:hAnsi="Calibri" w:cs="宋体" w:hint="eastAsia"/>
          <w:sz w:val="32"/>
          <w:szCs w:val="32"/>
        </w:rPr>
        <w:t xml:space="preserve">    为全面掌握济南市引进海内外高层次创新创业人才（团队）在济发展和支持资金发挥效能情况，进一步改进提升引才工作，我市决定对前八批5150引进高层次人才（团队）支持资金开展审计调查。现就做好高新区相关工作通知如下：</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sz w:val="32"/>
          <w:szCs w:val="32"/>
        </w:rPr>
      </w:pPr>
      <w:r>
        <w:rPr>
          <w:rFonts w:ascii="黑体" w:eastAsia="黑体" w:hAnsi="Calibri" w:cs="宋体" w:hint="eastAsia"/>
          <w:sz w:val="32"/>
          <w:szCs w:val="32"/>
        </w:rPr>
        <w:t>一、审计对象</w:t>
      </w:r>
    </w:p>
    <w:p w:rsidR="00AB281A" w:rsidRPr="005B10F7" w:rsidRDefault="00AB281A">
      <w:pPr>
        <w:shd w:val="clear" w:color="auto" w:fill="FFFFFF"/>
        <w:adjustRightInd/>
        <w:snapToGrid/>
        <w:spacing w:after="0" w:line="520" w:lineRule="exact"/>
        <w:ind w:firstLineChars="200" w:firstLine="640"/>
        <w:jc w:val="both"/>
        <w:rPr>
          <w:rFonts w:ascii="仿宋_GB2312" w:eastAsia="仿宋_GB2312" w:hAnsi="Calibri" w:cs="宋体"/>
          <w:color w:val="FF0000"/>
          <w:sz w:val="32"/>
          <w:szCs w:val="32"/>
        </w:rPr>
      </w:pPr>
      <w:r w:rsidRPr="005B10F7">
        <w:rPr>
          <w:rFonts w:ascii="仿宋_GB2312" w:eastAsia="仿宋_GB2312" w:hAnsi="Calibri" w:cs="宋体" w:hint="eastAsia"/>
          <w:color w:val="FF0000"/>
          <w:sz w:val="32"/>
          <w:szCs w:val="32"/>
        </w:rPr>
        <w:t>前八批5150引进高层次创新创业人才（团队）中资金未拨付完毕人员，共269人。</w:t>
      </w:r>
    </w:p>
    <w:p w:rsidR="00AB281A" w:rsidRDefault="00AB281A">
      <w:pPr>
        <w:pStyle w:val="a5"/>
        <w:shd w:val="clear" w:color="auto" w:fill="FFFFFF"/>
        <w:adjustRightInd/>
        <w:snapToGrid/>
        <w:spacing w:after="0" w:line="520" w:lineRule="exact"/>
        <w:ind w:left="720" w:firstLineChars="0" w:firstLine="0"/>
        <w:jc w:val="both"/>
        <w:rPr>
          <w:rFonts w:ascii="黑体" w:eastAsia="黑体" w:hAnsi="Calibri" w:cs="宋体"/>
          <w:sz w:val="32"/>
          <w:szCs w:val="32"/>
        </w:rPr>
      </w:pPr>
      <w:r>
        <w:rPr>
          <w:rFonts w:ascii="黑体" w:eastAsia="黑体" w:hAnsi="Calibri" w:cs="宋体" w:hint="eastAsia"/>
          <w:sz w:val="32"/>
          <w:szCs w:val="32"/>
        </w:rPr>
        <w:t>二、审计时间</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10月31日至11月14日，具体审计日程安排详见附件1。</w:t>
      </w:r>
    </w:p>
    <w:p w:rsidR="00AB281A" w:rsidRDefault="00AB281A">
      <w:pPr>
        <w:pStyle w:val="a5"/>
        <w:shd w:val="clear" w:color="auto" w:fill="FFFFFF"/>
        <w:adjustRightInd/>
        <w:snapToGrid/>
        <w:spacing w:after="0" w:line="520" w:lineRule="exact"/>
        <w:ind w:left="720" w:firstLineChars="0" w:firstLine="0"/>
        <w:jc w:val="both"/>
        <w:rPr>
          <w:rFonts w:ascii="黑体" w:eastAsia="黑体" w:hAnsi="Calibri" w:cs="宋体"/>
          <w:sz w:val="32"/>
          <w:szCs w:val="32"/>
        </w:rPr>
      </w:pPr>
      <w:r>
        <w:rPr>
          <w:rFonts w:ascii="黑体" w:eastAsia="黑体" w:hAnsi="Calibri" w:cs="宋体" w:hint="eastAsia"/>
          <w:sz w:val="32"/>
          <w:szCs w:val="32"/>
        </w:rPr>
        <w:t>三、审计地点</w:t>
      </w:r>
    </w:p>
    <w:p w:rsidR="00AB281A" w:rsidRPr="005B10F7"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color w:val="FF0000"/>
          <w:sz w:val="32"/>
          <w:szCs w:val="32"/>
        </w:rPr>
      </w:pPr>
      <w:r w:rsidRPr="005B10F7">
        <w:rPr>
          <w:rFonts w:ascii="仿宋_GB2312" w:eastAsia="仿宋_GB2312" w:hAnsi="Calibri" w:cs="宋体" w:hint="eastAsia"/>
          <w:color w:val="FF0000"/>
          <w:sz w:val="32"/>
          <w:szCs w:val="32"/>
        </w:rPr>
        <w:t>济南市高新区奥盛大厦3号楼18楼。</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sz w:val="32"/>
          <w:szCs w:val="32"/>
        </w:rPr>
      </w:pPr>
      <w:r>
        <w:rPr>
          <w:rFonts w:ascii="黑体" w:eastAsia="黑体" w:hAnsi="Calibri" w:cs="宋体" w:hint="eastAsia"/>
          <w:sz w:val="32"/>
          <w:szCs w:val="32"/>
        </w:rPr>
        <w:t>四、审计内容</w:t>
      </w:r>
    </w:p>
    <w:p w:rsidR="00AB281A" w:rsidRDefault="00AB281A">
      <w:pPr>
        <w:spacing w:after="0" w:line="520" w:lineRule="exact"/>
        <w:ind w:firstLineChars="200" w:firstLine="640"/>
        <w:jc w:val="both"/>
        <w:rPr>
          <w:rFonts w:ascii="仿宋_GB2312" w:eastAsia="仿宋_GB2312" w:hint="eastAsia"/>
          <w:sz w:val="32"/>
          <w:szCs w:val="32"/>
        </w:rPr>
      </w:pPr>
      <w:r>
        <w:rPr>
          <w:rFonts w:ascii="仿宋_GB2312" w:eastAsia="仿宋_GB2312" w:hint="eastAsia"/>
          <w:sz w:val="32"/>
          <w:szCs w:val="32"/>
        </w:rPr>
        <w:t>主要对支持资金是否用于人才培养、科研项目开发、创业企业发展，是否“专款专用”，是否存在挪用、隐瞒、弄虚作假等问题，是否发挥效能等方面进行审计。</w:t>
      </w:r>
    </w:p>
    <w:p w:rsidR="00AB281A" w:rsidRDefault="00AB281A">
      <w:pPr>
        <w:spacing w:after="0" w:line="520" w:lineRule="exact"/>
        <w:ind w:firstLineChars="200" w:firstLine="640"/>
        <w:jc w:val="both"/>
        <w:rPr>
          <w:rFonts w:ascii="仿宋_GB2312" w:eastAsia="仿宋_GB2312" w:hint="eastAsia"/>
          <w:sz w:val="32"/>
          <w:szCs w:val="32"/>
        </w:rPr>
      </w:pPr>
      <w:r>
        <w:rPr>
          <w:rFonts w:ascii="仿宋_GB2312" w:eastAsia="仿宋_GB2312" w:hint="eastAsia"/>
          <w:sz w:val="32"/>
          <w:szCs w:val="32"/>
        </w:rPr>
        <w:t>审计对象</w:t>
      </w:r>
      <w:proofErr w:type="gramStart"/>
      <w:r>
        <w:rPr>
          <w:rFonts w:ascii="仿宋_GB2312" w:eastAsia="仿宋_GB2312" w:hint="eastAsia"/>
          <w:sz w:val="32"/>
          <w:szCs w:val="32"/>
        </w:rPr>
        <w:t>分创业</w:t>
      </w:r>
      <w:proofErr w:type="gramEnd"/>
      <w:r>
        <w:rPr>
          <w:rFonts w:ascii="仿宋_GB2312" w:eastAsia="仿宋_GB2312" w:hint="eastAsia"/>
          <w:sz w:val="32"/>
          <w:szCs w:val="32"/>
        </w:rPr>
        <w:t>人才（团队）和创新人才（团队）进行。通过审计支持资金使用情况，重点了解创业人才企业注册、销售收入、实现利税和发展前景等情况；创新人才在济工作时间、项目进展、人才培养、取得的成果效益等情况。</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sz w:val="32"/>
          <w:szCs w:val="32"/>
        </w:rPr>
      </w:pPr>
      <w:r>
        <w:rPr>
          <w:rFonts w:ascii="黑体" w:eastAsia="黑体" w:hAnsi="Calibri" w:cs="宋体" w:hint="eastAsia"/>
          <w:sz w:val="32"/>
          <w:szCs w:val="32"/>
        </w:rPr>
        <w:lastRenderedPageBreak/>
        <w:t>五、审计报送所需资料</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sz w:val="32"/>
          <w:szCs w:val="32"/>
        </w:rPr>
      </w:pPr>
      <w:r>
        <w:rPr>
          <w:rFonts w:ascii="仿宋_GB2312" w:eastAsia="仿宋_GB2312" w:hAnsi="Calibri" w:cs="宋体" w:hint="eastAsia"/>
          <w:sz w:val="32"/>
          <w:szCs w:val="32"/>
        </w:rPr>
        <w:t>1.创业人才（团队）公司成立以来的整体运营进展情况、创新人才（团队）项目进展情况及用人单位提供支持平台情况；</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sz w:val="32"/>
          <w:szCs w:val="32"/>
        </w:rPr>
      </w:pPr>
      <w:r>
        <w:rPr>
          <w:rFonts w:ascii="仿宋_GB2312" w:eastAsia="仿宋_GB2312" w:hAnsi="Calibri" w:cs="宋体" w:hint="eastAsia"/>
          <w:sz w:val="32"/>
          <w:szCs w:val="32"/>
        </w:rPr>
        <w:t>2.财政支持资金使用情况，包括预算执行、项目进度、人才培养、取得成果等；</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3.人才项目进展、取得成效及用人单位提供支持平台等情况有关证明材料；</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4.人才项目申报书、企业与创新人才签订的工作合同；</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sz w:val="32"/>
          <w:szCs w:val="32"/>
        </w:rPr>
      </w:pPr>
      <w:r>
        <w:rPr>
          <w:rFonts w:ascii="仿宋_GB2312" w:eastAsia="仿宋_GB2312" w:hAnsi="Calibri" w:cs="宋体" w:hint="eastAsia"/>
          <w:sz w:val="32"/>
          <w:szCs w:val="32"/>
        </w:rPr>
        <w:t>5.人才项目财政经费、企业配套支持资金的收支明细，并提供企业相关年度会计账簿、凭证、银行对账单及财务报表、审计报告；</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6.人才项目融资、信贷情况；</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7.项目实施中遇到的困难和问题，人才工作环境、生活待遇方面存在的困难和问题，以及</w:t>
      </w:r>
      <w:r>
        <w:rPr>
          <w:rFonts w:ascii="仿宋_GB2312" w:eastAsia="仿宋_GB2312" w:hAnsi="Calibri" w:cs="宋体"/>
          <w:sz w:val="32"/>
          <w:szCs w:val="32"/>
        </w:rPr>
        <w:t>相关的</w:t>
      </w:r>
      <w:r>
        <w:rPr>
          <w:rFonts w:ascii="仿宋_GB2312" w:eastAsia="仿宋_GB2312" w:hAnsi="Calibri" w:cs="宋体" w:hint="eastAsia"/>
          <w:sz w:val="32"/>
          <w:szCs w:val="32"/>
        </w:rPr>
        <w:t>意见</w:t>
      </w:r>
      <w:r>
        <w:rPr>
          <w:rFonts w:ascii="仿宋_GB2312" w:eastAsia="仿宋_GB2312" w:hAnsi="Calibri" w:cs="宋体"/>
          <w:sz w:val="32"/>
          <w:szCs w:val="32"/>
        </w:rPr>
        <w:t>建议</w:t>
      </w:r>
      <w:r>
        <w:rPr>
          <w:rFonts w:ascii="仿宋_GB2312" w:eastAsia="仿宋_GB2312" w:hAnsi="Calibri" w:cs="宋体" w:hint="eastAsia"/>
          <w:sz w:val="32"/>
          <w:szCs w:val="32"/>
        </w:rPr>
        <w:t>；</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8.承诺书（模板见附件2）；</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9.其他需要说明的资料。</w:t>
      </w:r>
    </w:p>
    <w:p w:rsidR="00AB281A" w:rsidRDefault="00AB281A">
      <w:pPr>
        <w:shd w:val="clear" w:color="auto" w:fill="FFFFFF"/>
        <w:adjustRightInd/>
        <w:snapToGrid/>
        <w:spacing w:after="0" w:line="520" w:lineRule="exact"/>
        <w:ind w:firstLineChars="200" w:firstLine="640"/>
        <w:jc w:val="both"/>
        <w:rPr>
          <w:rFonts w:ascii="黑体" w:eastAsia="黑体" w:hAnsi="Calibri" w:cs="宋体"/>
          <w:sz w:val="32"/>
          <w:szCs w:val="32"/>
        </w:rPr>
      </w:pPr>
      <w:r>
        <w:rPr>
          <w:rFonts w:ascii="黑体" w:eastAsia="黑体" w:hAnsi="Calibri" w:cs="宋体" w:hint="eastAsia"/>
          <w:sz w:val="32"/>
          <w:szCs w:val="32"/>
        </w:rPr>
        <w:t>六、审计方式</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sz w:val="32"/>
          <w:szCs w:val="32"/>
        </w:rPr>
      </w:pPr>
      <w:r>
        <w:rPr>
          <w:rFonts w:ascii="仿宋_GB2312" w:eastAsia="仿宋_GB2312" w:hAnsi="Calibri" w:cs="宋体" w:hint="eastAsia"/>
          <w:sz w:val="32"/>
          <w:szCs w:val="32"/>
        </w:rPr>
        <w:t>1.采取查验材料和现场访谈结合的形式。</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2.查验资料、访谈结束后，审计机构对每位人才形成审计报告，并对审计中发现的问题进行定性。</w:t>
      </w:r>
    </w:p>
    <w:p w:rsidR="00AB281A" w:rsidRDefault="00AB281A">
      <w:pPr>
        <w:shd w:val="clear" w:color="auto" w:fill="FFFFFF"/>
        <w:adjustRightInd/>
        <w:snapToGrid/>
        <w:spacing w:after="0" w:line="520" w:lineRule="exact"/>
        <w:ind w:firstLineChars="200" w:firstLine="640"/>
        <w:jc w:val="both"/>
        <w:rPr>
          <w:rFonts w:ascii="黑体" w:eastAsia="黑体" w:hAnsi="Calibri" w:cs="宋体" w:hint="eastAsia"/>
          <w:sz w:val="32"/>
          <w:szCs w:val="32"/>
        </w:rPr>
      </w:pPr>
      <w:r>
        <w:rPr>
          <w:rFonts w:ascii="黑体" w:eastAsia="黑体" w:hAnsi="Calibri" w:cs="宋体" w:hint="eastAsia"/>
          <w:sz w:val="32"/>
          <w:szCs w:val="32"/>
        </w:rPr>
        <w:t>七、有关要求</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1.此次审计调查是对前八批引进人才创新创业情况的一次全面调查摸底，各园区、企业要高度重视，全力做好配合工</w:t>
      </w:r>
      <w:r>
        <w:rPr>
          <w:rFonts w:ascii="仿宋_GB2312" w:eastAsia="仿宋_GB2312" w:hAnsi="Calibri" w:cs="宋体" w:hint="eastAsia"/>
          <w:sz w:val="32"/>
          <w:szCs w:val="32"/>
        </w:rPr>
        <w:lastRenderedPageBreak/>
        <w:t>作，指派专人负责审计工作的沟通、联络；要及时通知本园区人才（企业）做好准备，确保审计信息客观、真实、完整。严格按照规定时间报送材料，逾期未报者，后续资金不予拨付；弄虚作假者，一经查出，后续资金不予拨付，并追究相关责任。</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2.各</w:t>
      </w:r>
      <w:proofErr w:type="gramStart"/>
      <w:r>
        <w:rPr>
          <w:rFonts w:ascii="仿宋_GB2312" w:eastAsia="仿宋_GB2312" w:hAnsi="Calibri" w:cs="宋体" w:hint="eastAsia"/>
          <w:sz w:val="32"/>
          <w:szCs w:val="32"/>
        </w:rPr>
        <w:t>园区请</w:t>
      </w:r>
      <w:proofErr w:type="gramEnd"/>
      <w:r>
        <w:rPr>
          <w:rFonts w:ascii="仿宋_GB2312" w:eastAsia="仿宋_GB2312" w:hAnsi="Calibri" w:cs="宋体" w:hint="eastAsia"/>
          <w:sz w:val="32"/>
          <w:szCs w:val="32"/>
        </w:rPr>
        <w:t>于10月30日上午10:00前上报联络员名单（附件3）。</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3.请各单位将审计资料按照要求顺序排列，用拉杆夹装订并加盖公章，按照审计日程安排,携带完整的审计资料，于相应工作日</w:t>
      </w:r>
      <w:r>
        <w:rPr>
          <w:rFonts w:ascii="仿宋_GB2312" w:eastAsia="仿宋_GB2312" w:hAnsi="Calibri" w:cs="宋体" w:hint="eastAsia"/>
          <w:b/>
          <w:bCs/>
          <w:sz w:val="32"/>
          <w:szCs w:val="32"/>
        </w:rPr>
        <w:t>上午9:00/下午2:00</w:t>
      </w:r>
      <w:r>
        <w:rPr>
          <w:rFonts w:ascii="仿宋_GB2312" w:eastAsia="仿宋_GB2312" w:hAnsi="Calibri" w:cs="宋体" w:hint="eastAsia"/>
          <w:sz w:val="32"/>
          <w:szCs w:val="32"/>
        </w:rPr>
        <w:t>前到达审计地点进行审计；将全套材料扫描成PDF格式后报所属园区，所在园区汇总后报高新区人才办。</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联 系 人：苗蕴章</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联系电话：88871067</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电子邮箱：gxqgccrc@163.com</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附件：1.审计工作日程安排</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 xml:space="preserve">      2.承诺书</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hint="eastAsia"/>
          <w:sz w:val="32"/>
          <w:szCs w:val="32"/>
        </w:rPr>
      </w:pPr>
      <w:r>
        <w:rPr>
          <w:rFonts w:ascii="仿宋_GB2312" w:eastAsia="仿宋_GB2312" w:hAnsi="Calibri" w:cs="宋体" w:hint="eastAsia"/>
          <w:sz w:val="32"/>
          <w:szCs w:val="32"/>
        </w:rPr>
        <w:t xml:space="preserve">      3.联络员名单</w:t>
      </w: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sz w:val="32"/>
          <w:szCs w:val="32"/>
        </w:rPr>
      </w:pPr>
    </w:p>
    <w:p w:rsidR="00AB281A" w:rsidRDefault="00AB281A">
      <w:pPr>
        <w:shd w:val="clear" w:color="auto" w:fill="FFFFFF"/>
        <w:adjustRightInd/>
        <w:snapToGrid/>
        <w:spacing w:after="0" w:line="520" w:lineRule="exact"/>
        <w:ind w:firstLineChars="200" w:firstLine="640"/>
        <w:jc w:val="both"/>
        <w:rPr>
          <w:rFonts w:ascii="仿宋_GB2312" w:eastAsia="仿宋_GB2312" w:hAnsi="Calibri" w:cs="宋体"/>
          <w:sz w:val="32"/>
          <w:szCs w:val="32"/>
        </w:rPr>
      </w:pPr>
      <w:r>
        <w:rPr>
          <w:rFonts w:ascii="仿宋_GB2312" w:eastAsia="仿宋_GB2312" w:hAnsi="Calibri" w:cs="宋体" w:hint="eastAsia"/>
          <w:sz w:val="32"/>
          <w:szCs w:val="32"/>
        </w:rPr>
        <w:t xml:space="preserve">                  济南高新区人才工作领导小组办公室</w:t>
      </w:r>
    </w:p>
    <w:p w:rsidR="00AB281A" w:rsidRDefault="00AB281A">
      <w:pPr>
        <w:shd w:val="clear" w:color="auto" w:fill="FFFFFF"/>
        <w:adjustRightInd/>
        <w:snapToGrid/>
        <w:spacing w:after="0" w:line="520" w:lineRule="exact"/>
        <w:ind w:firstLineChars="200" w:firstLine="640"/>
        <w:jc w:val="both"/>
        <w:rPr>
          <w:rFonts w:ascii="仿宋_GB2312" w:eastAsia="仿宋_GB2312"/>
          <w:sz w:val="32"/>
          <w:szCs w:val="32"/>
        </w:rPr>
      </w:pPr>
      <w:r>
        <w:rPr>
          <w:rFonts w:ascii="仿宋_GB2312" w:eastAsia="仿宋_GB2312" w:hAnsi="Calibri" w:cs="宋体" w:hint="eastAsia"/>
          <w:sz w:val="32"/>
          <w:szCs w:val="32"/>
        </w:rPr>
        <w:t xml:space="preserve">                          2017年10月26日</w:t>
      </w:r>
      <w:r>
        <w:rPr>
          <w:rFonts w:ascii="黑体" w:eastAsia="黑体" w:hAnsi="Calibri" w:cs="宋体" w:hint="eastAsia"/>
          <w:sz w:val="32"/>
          <w:szCs w:val="32"/>
        </w:rPr>
        <w:t xml:space="preserve">                          </w:t>
      </w:r>
    </w:p>
    <w:sectPr w:rsidR="00AB281A">
      <w:footerReference w:type="default" r:id="rId6"/>
      <w:pgSz w:w="11906" w:h="16838"/>
      <w:pgMar w:top="2098" w:right="1474" w:bottom="1984" w:left="1588" w:header="567" w:footer="567"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03A" w:rsidRDefault="00C3303A">
      <w:r>
        <w:separator/>
      </w:r>
    </w:p>
  </w:endnote>
  <w:endnote w:type="continuationSeparator" w:id="0">
    <w:p w:rsidR="00C3303A" w:rsidRDefault="00C330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81A" w:rsidRDefault="00AB281A">
    <w:pPr>
      <w:pStyle w:val="a4"/>
      <w:jc w:val="center"/>
    </w:pPr>
    <w:fldSimple w:instr=" PAGE   \* MERGEFORMAT ">
      <w:r w:rsidR="005E3577" w:rsidRPr="005E3577">
        <w:rPr>
          <w:noProof/>
          <w:lang w:val="zh-CN" w:eastAsia="zh-CN"/>
        </w:rPr>
        <w:t>2</w:t>
      </w:r>
    </w:fldSimple>
  </w:p>
  <w:p w:rsidR="00AB281A" w:rsidRDefault="00AB28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03A" w:rsidRDefault="00C3303A">
      <w:r>
        <w:separator/>
      </w:r>
    </w:p>
  </w:footnote>
  <w:footnote w:type="continuationSeparator" w:id="0">
    <w:p w:rsidR="00C3303A" w:rsidRDefault="00C330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23554" fillcolor="white">
      <v:fill color="white"/>
    </o:shapedefaults>
  </w:hdrShapeDefaults>
  <w:footnotePr>
    <w:footnote w:id="-1"/>
    <w:footnote w:id="0"/>
  </w:footnotePr>
  <w:endnotePr>
    <w:endnote w:id="-1"/>
    <w:endnote w:id="0"/>
  </w:endnotePr>
  <w:compat>
    <w:useFELayout/>
  </w:compat>
  <w:rsids>
    <w:rsidRoot w:val="00D31D50"/>
    <w:rsid w:val="00000093"/>
    <w:rsid w:val="00011B56"/>
    <w:rsid w:val="000278E7"/>
    <w:rsid w:val="000437CD"/>
    <w:rsid w:val="000461A9"/>
    <w:rsid w:val="00060372"/>
    <w:rsid w:val="00063B61"/>
    <w:rsid w:val="000739EA"/>
    <w:rsid w:val="000A78EF"/>
    <w:rsid w:val="000B21ED"/>
    <w:rsid w:val="000B5011"/>
    <w:rsid w:val="000B6B86"/>
    <w:rsid w:val="000F293D"/>
    <w:rsid w:val="00101EB9"/>
    <w:rsid w:val="00140544"/>
    <w:rsid w:val="001420DB"/>
    <w:rsid w:val="0015084E"/>
    <w:rsid w:val="00150A8D"/>
    <w:rsid w:val="00165A99"/>
    <w:rsid w:val="00171F60"/>
    <w:rsid w:val="001957B7"/>
    <w:rsid w:val="001A46C0"/>
    <w:rsid w:val="001A4FBE"/>
    <w:rsid w:val="001C78FF"/>
    <w:rsid w:val="001D5DA4"/>
    <w:rsid w:val="001E1B03"/>
    <w:rsid w:val="001F50DC"/>
    <w:rsid w:val="00203294"/>
    <w:rsid w:val="00205134"/>
    <w:rsid w:val="00241DA5"/>
    <w:rsid w:val="002475C0"/>
    <w:rsid w:val="00253BEE"/>
    <w:rsid w:val="0026429C"/>
    <w:rsid w:val="002B5B37"/>
    <w:rsid w:val="002D3524"/>
    <w:rsid w:val="002F132F"/>
    <w:rsid w:val="00323AE0"/>
    <w:rsid w:val="00323B43"/>
    <w:rsid w:val="00325EFA"/>
    <w:rsid w:val="0034285B"/>
    <w:rsid w:val="00355A7D"/>
    <w:rsid w:val="0035606A"/>
    <w:rsid w:val="00364F1A"/>
    <w:rsid w:val="00386D9C"/>
    <w:rsid w:val="00393C54"/>
    <w:rsid w:val="003A05B4"/>
    <w:rsid w:val="003B038A"/>
    <w:rsid w:val="003B2E0D"/>
    <w:rsid w:val="003B5F8B"/>
    <w:rsid w:val="003C1768"/>
    <w:rsid w:val="003C4C7D"/>
    <w:rsid w:val="003D18F3"/>
    <w:rsid w:val="003D37D8"/>
    <w:rsid w:val="003E3FE1"/>
    <w:rsid w:val="003F6272"/>
    <w:rsid w:val="00407B92"/>
    <w:rsid w:val="00426133"/>
    <w:rsid w:val="004358AB"/>
    <w:rsid w:val="00442456"/>
    <w:rsid w:val="00443E4E"/>
    <w:rsid w:val="00445BC8"/>
    <w:rsid w:val="00464A4C"/>
    <w:rsid w:val="004659E0"/>
    <w:rsid w:val="00482CD0"/>
    <w:rsid w:val="00497EF4"/>
    <w:rsid w:val="004A6B5E"/>
    <w:rsid w:val="004D5D5C"/>
    <w:rsid w:val="004E4E21"/>
    <w:rsid w:val="00504536"/>
    <w:rsid w:val="00505FD9"/>
    <w:rsid w:val="00515EFA"/>
    <w:rsid w:val="00522239"/>
    <w:rsid w:val="0052682F"/>
    <w:rsid w:val="00546846"/>
    <w:rsid w:val="0054799A"/>
    <w:rsid w:val="00552EB7"/>
    <w:rsid w:val="00563E12"/>
    <w:rsid w:val="00563FE5"/>
    <w:rsid w:val="00571F1B"/>
    <w:rsid w:val="00573E22"/>
    <w:rsid w:val="00585502"/>
    <w:rsid w:val="0059304F"/>
    <w:rsid w:val="005B10F7"/>
    <w:rsid w:val="005B7000"/>
    <w:rsid w:val="005C59D2"/>
    <w:rsid w:val="005E3577"/>
    <w:rsid w:val="005F120A"/>
    <w:rsid w:val="005F7664"/>
    <w:rsid w:val="00602253"/>
    <w:rsid w:val="00621272"/>
    <w:rsid w:val="00626841"/>
    <w:rsid w:val="00646F68"/>
    <w:rsid w:val="00656B24"/>
    <w:rsid w:val="00676EEF"/>
    <w:rsid w:val="0068751D"/>
    <w:rsid w:val="006B452E"/>
    <w:rsid w:val="006B6F2E"/>
    <w:rsid w:val="006D1DA0"/>
    <w:rsid w:val="006D58B1"/>
    <w:rsid w:val="006D6DDE"/>
    <w:rsid w:val="006F2B9E"/>
    <w:rsid w:val="006F3303"/>
    <w:rsid w:val="00707A23"/>
    <w:rsid w:val="00707FDE"/>
    <w:rsid w:val="0072577C"/>
    <w:rsid w:val="007379F6"/>
    <w:rsid w:val="00750FF5"/>
    <w:rsid w:val="007730CB"/>
    <w:rsid w:val="007A7B35"/>
    <w:rsid w:val="007B791D"/>
    <w:rsid w:val="007D4D76"/>
    <w:rsid w:val="007F2D08"/>
    <w:rsid w:val="008066D0"/>
    <w:rsid w:val="008142D6"/>
    <w:rsid w:val="00815BB1"/>
    <w:rsid w:val="008314A0"/>
    <w:rsid w:val="008359CA"/>
    <w:rsid w:val="008403CF"/>
    <w:rsid w:val="00843B3F"/>
    <w:rsid w:val="00857BFB"/>
    <w:rsid w:val="0086348F"/>
    <w:rsid w:val="00864E61"/>
    <w:rsid w:val="0088356B"/>
    <w:rsid w:val="008A2CB9"/>
    <w:rsid w:val="008A6441"/>
    <w:rsid w:val="008B360B"/>
    <w:rsid w:val="008B7726"/>
    <w:rsid w:val="008B7F8C"/>
    <w:rsid w:val="008C7CD5"/>
    <w:rsid w:val="008E36CA"/>
    <w:rsid w:val="008F72D2"/>
    <w:rsid w:val="00910B86"/>
    <w:rsid w:val="00937EDB"/>
    <w:rsid w:val="00995715"/>
    <w:rsid w:val="009A08CB"/>
    <w:rsid w:val="009A1C36"/>
    <w:rsid w:val="009C4D11"/>
    <w:rsid w:val="009E3074"/>
    <w:rsid w:val="009E4E32"/>
    <w:rsid w:val="009E5963"/>
    <w:rsid w:val="009E6EA5"/>
    <w:rsid w:val="009F38F9"/>
    <w:rsid w:val="009F4BE2"/>
    <w:rsid w:val="00A01BE5"/>
    <w:rsid w:val="00A02E78"/>
    <w:rsid w:val="00A1144D"/>
    <w:rsid w:val="00A52E95"/>
    <w:rsid w:val="00A53CA8"/>
    <w:rsid w:val="00A8459F"/>
    <w:rsid w:val="00A94C0A"/>
    <w:rsid w:val="00AA4483"/>
    <w:rsid w:val="00AB281A"/>
    <w:rsid w:val="00AB736C"/>
    <w:rsid w:val="00AC3977"/>
    <w:rsid w:val="00AE6E9E"/>
    <w:rsid w:val="00AE734C"/>
    <w:rsid w:val="00B12B50"/>
    <w:rsid w:val="00B14880"/>
    <w:rsid w:val="00B14DD4"/>
    <w:rsid w:val="00B15B3A"/>
    <w:rsid w:val="00B238CF"/>
    <w:rsid w:val="00B40C1E"/>
    <w:rsid w:val="00B41726"/>
    <w:rsid w:val="00B46368"/>
    <w:rsid w:val="00B5303C"/>
    <w:rsid w:val="00B54F9F"/>
    <w:rsid w:val="00B647E3"/>
    <w:rsid w:val="00B74988"/>
    <w:rsid w:val="00B84D87"/>
    <w:rsid w:val="00BA12D7"/>
    <w:rsid w:val="00BB5C35"/>
    <w:rsid w:val="00BC5683"/>
    <w:rsid w:val="00BD00C7"/>
    <w:rsid w:val="00BD7C74"/>
    <w:rsid w:val="00BE237B"/>
    <w:rsid w:val="00C03E3D"/>
    <w:rsid w:val="00C16497"/>
    <w:rsid w:val="00C3303A"/>
    <w:rsid w:val="00C50843"/>
    <w:rsid w:val="00C53CB6"/>
    <w:rsid w:val="00C64F3A"/>
    <w:rsid w:val="00C67385"/>
    <w:rsid w:val="00C735B2"/>
    <w:rsid w:val="00C86830"/>
    <w:rsid w:val="00C95AA0"/>
    <w:rsid w:val="00CA39C3"/>
    <w:rsid w:val="00CC1574"/>
    <w:rsid w:val="00CC3279"/>
    <w:rsid w:val="00CD4448"/>
    <w:rsid w:val="00CF418C"/>
    <w:rsid w:val="00D0249F"/>
    <w:rsid w:val="00D31D50"/>
    <w:rsid w:val="00D3278A"/>
    <w:rsid w:val="00D61533"/>
    <w:rsid w:val="00D62638"/>
    <w:rsid w:val="00D64570"/>
    <w:rsid w:val="00D66AEC"/>
    <w:rsid w:val="00D947BF"/>
    <w:rsid w:val="00D94E1D"/>
    <w:rsid w:val="00DB21A0"/>
    <w:rsid w:val="00DB77D3"/>
    <w:rsid w:val="00DC226E"/>
    <w:rsid w:val="00DC2DE0"/>
    <w:rsid w:val="00DC3A2B"/>
    <w:rsid w:val="00DC58C8"/>
    <w:rsid w:val="00DC6AE0"/>
    <w:rsid w:val="00E0352C"/>
    <w:rsid w:val="00E03EC5"/>
    <w:rsid w:val="00E07C44"/>
    <w:rsid w:val="00E472CA"/>
    <w:rsid w:val="00E60589"/>
    <w:rsid w:val="00E62DAE"/>
    <w:rsid w:val="00E63BE6"/>
    <w:rsid w:val="00E729EB"/>
    <w:rsid w:val="00E90D30"/>
    <w:rsid w:val="00E93C15"/>
    <w:rsid w:val="00EA681A"/>
    <w:rsid w:val="00EB0045"/>
    <w:rsid w:val="00EB2422"/>
    <w:rsid w:val="00EB5B4A"/>
    <w:rsid w:val="00EC33B1"/>
    <w:rsid w:val="00EE74F5"/>
    <w:rsid w:val="00EF71F4"/>
    <w:rsid w:val="00F14213"/>
    <w:rsid w:val="00F376B8"/>
    <w:rsid w:val="00F521A9"/>
    <w:rsid w:val="00F63AF8"/>
    <w:rsid w:val="00F8184D"/>
    <w:rsid w:val="00F8446F"/>
    <w:rsid w:val="00F90D26"/>
    <w:rsid w:val="00FA1B83"/>
    <w:rsid w:val="00FA503B"/>
    <w:rsid w:val="00FB0751"/>
    <w:rsid w:val="00FC2D6F"/>
    <w:rsid w:val="00FC4792"/>
    <w:rsid w:val="00FD5D88"/>
    <w:rsid w:val="00FF203F"/>
    <w:rsid w:val="060D3E17"/>
    <w:rsid w:val="1C100288"/>
    <w:rsid w:val="2D6A2BFE"/>
    <w:rsid w:val="607F676F"/>
    <w:rsid w:val="68A545AC"/>
    <w:rsid w:val="7A3728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style>
  <w:style w:type="character" w:customStyle="1" w:styleId="Char">
    <w:name w:val="页眉 Char"/>
    <w:basedOn w:val="a0"/>
    <w:link w:val="a3"/>
    <w:uiPriority w:val="99"/>
    <w:semiHidden/>
    <w:rPr>
      <w:rFonts w:ascii="Tahoma" w:hAnsi="Tahoma"/>
      <w:sz w:val="18"/>
      <w:szCs w:val="18"/>
    </w:rPr>
  </w:style>
  <w:style w:type="character" w:customStyle="1" w:styleId="Char0">
    <w:name w:val="页脚 Char"/>
    <w:basedOn w:val="a0"/>
    <w:link w:val="a4"/>
    <w:uiPriority w:val="99"/>
    <w:rPr>
      <w:rFonts w:ascii="Tahoma" w:hAnsi="Tahoma"/>
      <w:sz w:val="18"/>
      <w:szCs w:val="18"/>
    </w:rPr>
  </w:style>
  <w:style w:type="paragraph" w:styleId="a5">
    <w:name w:val="List Paragraph"/>
    <w:basedOn w:val="a"/>
    <w:uiPriority w:val="34"/>
    <w:qFormat/>
    <w:pPr>
      <w:ind w:firstLineChars="200" w:firstLine="420"/>
    </w:pPr>
  </w:style>
  <w:style w:type="paragraph" w:styleId="a3">
    <w:name w:val="header"/>
    <w:basedOn w:val="a"/>
    <w:link w:val="Char"/>
    <w:uiPriority w:val="99"/>
    <w:unhideWhenUsed/>
    <w:pPr>
      <w:pBdr>
        <w:bottom w:val="single" w:sz="6" w:space="1" w:color="auto"/>
      </w:pBdr>
      <w:tabs>
        <w:tab w:val="center" w:pos="4153"/>
        <w:tab w:val="right" w:pos="8306"/>
      </w:tabs>
      <w:jc w:val="center"/>
    </w:pPr>
    <w:rPr>
      <w:sz w:val="18"/>
      <w:szCs w:val="18"/>
    </w:rPr>
  </w:style>
  <w:style w:type="paragraph" w:styleId="a4">
    <w:name w:val="footer"/>
    <w:basedOn w:val="a"/>
    <w:link w:val="Char0"/>
    <w:uiPriority w:val="99"/>
    <w:unhideWhenUsed/>
    <w:pPr>
      <w:tabs>
        <w:tab w:val="center" w:pos="4153"/>
        <w:tab w:val="right" w:pos="8306"/>
      </w:tabs>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Words>
  <Characters>1142</Characters>
  <Application>Microsoft Office Word</Application>
  <DocSecurity>0</DocSecurity>
  <Lines>9</Lines>
  <Paragraphs>2</Paragraphs>
  <ScaleCrop>false</ScaleCrop>
  <Company>Company</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2017-10-26T02:12:00Z</cp:lastPrinted>
  <dcterms:created xsi:type="dcterms:W3CDTF">2017-10-29T08:12:00Z</dcterms:created>
  <dcterms:modified xsi:type="dcterms:W3CDTF">2017-10-29T08:12:00Z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